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51" w:rsidRDefault="00216D51" w:rsidP="00216D51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УТВЕРЖДЕННЫЕ 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</w:t>
      </w:r>
      <w:proofErr w:type="gramEnd"/>
      <w:r>
        <w:rPr>
          <w:rFonts w:ascii="Calibri" w:hAnsi="Calibri" w:cs="Calibri"/>
          <w:b/>
        </w:rPr>
        <w:t xml:space="preserve"> (</w:t>
      </w:r>
      <w:proofErr w:type="gramStart"/>
      <w:r>
        <w:rPr>
          <w:rFonts w:ascii="Calibri" w:hAnsi="Calibri" w:cs="Calibri"/>
          <w:b/>
        </w:rPr>
        <w:t>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2016 ГОД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6D51" w:rsidTr="00216D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ООО «</w:t>
            </w:r>
            <w:proofErr w:type="gramStart"/>
            <w:r>
              <w:rPr>
                <w:rFonts w:cs="Arial"/>
                <w:b/>
                <w:bCs/>
                <w:iCs/>
                <w:sz w:val="28"/>
              </w:rPr>
              <w:t>Ноябрьская</w:t>
            </w:r>
            <w:proofErr w:type="gramEnd"/>
            <w:r>
              <w:rPr>
                <w:rFonts w:cs="Arial"/>
                <w:b/>
                <w:bCs/>
                <w:iCs/>
                <w:sz w:val="28"/>
              </w:rPr>
              <w:t xml:space="preserve"> ПГЭ»</w:t>
            </w:r>
          </w:p>
        </w:tc>
      </w:tr>
      <w:tr w:rsidR="00216D51" w:rsidTr="00216D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8905037499</w:t>
            </w:r>
          </w:p>
        </w:tc>
      </w:tr>
      <w:tr w:rsidR="00216D51" w:rsidTr="00216D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891450001</w:t>
            </w:r>
          </w:p>
        </w:tc>
      </w:tr>
      <w:tr w:rsidR="00216D51" w:rsidTr="00216D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Место нахождения (адрес)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629804, Ямало-Ненецкий автономный округ, г. Ноябрьск, Ноябрьская парогазовая электрическая станция</w:t>
            </w:r>
          </w:p>
        </w:tc>
      </w:tr>
      <w:tr w:rsidR="00216D51" w:rsidTr="00216D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Наименование регулирующего органа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Федеральная антимонопольная служба</w:t>
            </w:r>
          </w:p>
        </w:tc>
      </w:tr>
      <w:tr w:rsidR="00216D51" w:rsidTr="00216D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Источник опубликования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Приказ ФАС № 1264/15 от 18.12.2015 г.</w:t>
            </w:r>
          </w:p>
          <w:p w:rsidR="00216D51" w:rsidRDefault="00216D51">
            <w:pPr>
              <w:pStyle w:val="ConsPlusNormal"/>
              <w:keepNext/>
              <w:spacing w:after="240"/>
              <w:outlineLvl w:val="1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/>
                <w:bCs/>
                <w:iCs/>
              </w:rPr>
              <w:t>Источник публикации</w:t>
            </w:r>
          </w:p>
          <w:p w:rsidR="00216D51" w:rsidRDefault="00216D51">
            <w:pPr>
              <w:pStyle w:val="ConsPlusNormal"/>
              <w:keepNext/>
              <w:spacing w:after="240"/>
              <w:ind w:left="540"/>
              <w:jc w:val="both"/>
              <w:outlineLvl w:val="1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/>
                <w:bCs/>
                <w:iCs/>
              </w:rPr>
              <w:t>Официальный интернет-портал правовой информации http://www.pravo.gov.ru, 13.01.2016</w:t>
            </w:r>
          </w:p>
          <w:p w:rsidR="00216D51" w:rsidRDefault="00216D51">
            <w:pPr>
              <w:keepNext/>
              <w:spacing w:after="240"/>
              <w:outlineLvl w:val="1"/>
              <w:rPr>
                <w:rFonts w:cs="Arial"/>
                <w:b/>
                <w:bCs/>
                <w:iCs/>
                <w:sz w:val="28"/>
              </w:rPr>
            </w:pPr>
          </w:p>
        </w:tc>
      </w:tr>
    </w:tbl>
    <w:p w:rsidR="00216D51" w:rsidRDefault="00216D51" w:rsidP="00216D51">
      <w:pPr>
        <w:rPr>
          <w:rFonts w:ascii="Calibri" w:hAnsi="Calibri" w:cs="Calibri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407"/>
        <w:gridCol w:w="1276"/>
        <w:gridCol w:w="1706"/>
        <w:gridCol w:w="1411"/>
        <w:gridCol w:w="1706"/>
        <w:gridCol w:w="1412"/>
      </w:tblGrid>
      <w:tr w:rsidR="00216D51" w:rsidTr="00216D5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</w:pPr>
            <w:r>
              <w:t xml:space="preserve">Субъект оптового рынка электрической энергии и мощности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</w:pPr>
            <w:r>
              <w:t xml:space="preserve">Наименование генерирующих объектов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</w:pPr>
            <w:r>
              <w:t xml:space="preserve">I полугодие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</w:pPr>
            <w:r>
              <w:t xml:space="preserve">II полугодие </w:t>
            </w:r>
          </w:p>
        </w:tc>
      </w:tr>
      <w:tr w:rsidR="00216D51" w:rsidTr="00216D5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51" w:rsidRDefault="00216D51">
            <w:pPr>
              <w:rPr>
                <w:rFonts w:eastAsia="Calibri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51" w:rsidRDefault="00216D51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51" w:rsidRDefault="00216D51">
            <w:pPr>
              <w:rPr>
                <w:rFonts w:eastAsia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</w:pPr>
            <w:r>
              <w:t xml:space="preserve">Тарифная ставка на электрическую энергию, руб./(МВт*ч) (без НДС)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</w:pPr>
            <w:r>
              <w:t xml:space="preserve">Тарифная ставка на мощность, руб./МВт в месяц (без НДС)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</w:pPr>
            <w:r>
              <w:t xml:space="preserve">Тарифная ставка на электрическую энергию, руб./(МВт*ч) (без НДС)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</w:pPr>
            <w:r>
              <w:t xml:space="preserve">Тарифная ставка на мощность, руб./МВт в месяц (без НДС) </w:t>
            </w:r>
          </w:p>
        </w:tc>
      </w:tr>
      <w:tr w:rsidR="00216D51" w:rsidTr="00216D5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</w:pPr>
            <w:r>
              <w:t>ООО "</w:t>
            </w:r>
            <w:proofErr w:type="gramStart"/>
            <w:r>
              <w:t>Ноябрьская</w:t>
            </w:r>
            <w:proofErr w:type="gramEnd"/>
            <w:r>
              <w:t xml:space="preserve"> ПГЭ"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51" w:rsidRDefault="00216D51">
            <w:pPr>
              <w:pStyle w:val="ConsPlusNormal"/>
            </w:pPr>
            <w:r>
              <w:t>Ноябрьская ПГЭ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D51" w:rsidRDefault="00216D51">
            <w:pPr>
              <w:pStyle w:val="ConsPlusNormal"/>
              <w:jc w:val="center"/>
            </w:pPr>
            <w:r>
              <w:t>750,53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D51" w:rsidRDefault="00216D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D51" w:rsidRDefault="00216D51">
            <w:pPr>
              <w:pStyle w:val="ConsPlusNormal"/>
              <w:jc w:val="center"/>
            </w:pPr>
            <w:r>
              <w:t>750,53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D51" w:rsidRDefault="00216D51">
            <w:pPr>
              <w:pStyle w:val="ConsPlusNormal"/>
              <w:jc w:val="center"/>
            </w:pPr>
            <w:r>
              <w:t>x</w:t>
            </w:r>
          </w:p>
        </w:tc>
      </w:tr>
    </w:tbl>
    <w:p w:rsidR="00216D51" w:rsidRDefault="00216D51" w:rsidP="00216D51"/>
    <w:p w:rsidR="00A26B66" w:rsidRDefault="00A26B66">
      <w:bookmarkStart w:id="0" w:name="_GoBack"/>
      <w:bookmarkEnd w:id="0"/>
    </w:p>
    <w:sectPr w:rsidR="00A2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04"/>
    <w:rsid w:val="00216D51"/>
    <w:rsid w:val="00761904"/>
    <w:rsid w:val="00A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Г. Вертинская</dc:creator>
  <cp:keywords/>
  <dc:description/>
  <cp:lastModifiedBy>Алла Г. Вертинская</cp:lastModifiedBy>
  <cp:revision>2</cp:revision>
  <dcterms:created xsi:type="dcterms:W3CDTF">2016-05-31T11:39:00Z</dcterms:created>
  <dcterms:modified xsi:type="dcterms:W3CDTF">2016-05-31T11:40:00Z</dcterms:modified>
</cp:coreProperties>
</file>